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1" w:rsidRPr="002E5B54" w:rsidRDefault="004474C1" w:rsidP="004474C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FDA4BA" wp14:editId="7BA5765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124"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4474C1" w:rsidRDefault="004474C1" w:rsidP="004474C1">
      <w:pPr>
        <w:jc w:val="center"/>
      </w:pPr>
      <w:r>
        <w:t>OR vedený městským soudem v Praze, oddíl C, vložka 50353</w:t>
      </w:r>
    </w:p>
    <w:p w:rsidR="004474C1" w:rsidRDefault="004474C1" w:rsidP="004474C1">
      <w:pPr>
        <w:jc w:val="center"/>
        <w:rPr>
          <w:i/>
        </w:rPr>
      </w:pPr>
    </w:p>
    <w:p w:rsidR="004474C1" w:rsidRPr="006E3F30" w:rsidRDefault="004474C1" w:rsidP="004474C1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</w:t>
      </w:r>
      <w:r w:rsidR="00A05A61">
        <w:rPr>
          <w:i/>
          <w:color w:val="3366FF"/>
        </w:rPr>
        <w:t xml:space="preserve">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4474C1" w:rsidRDefault="004474C1" w:rsidP="00B7659B">
      <w:pPr>
        <w:pStyle w:val="Nadpis1"/>
        <w:rPr>
          <w:b/>
          <w:sz w:val="36"/>
        </w:rPr>
      </w:pPr>
    </w:p>
    <w:p w:rsidR="004474C1" w:rsidRDefault="00521EC0" w:rsidP="004474C1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 xml:space="preserve">Kritéria hodnocení </w:t>
      </w:r>
      <w:r w:rsidR="004474C1" w:rsidRPr="004474C1">
        <w:rPr>
          <w:color w:val="0070C0"/>
          <w:sz w:val="48"/>
          <w:u w:val="single"/>
        </w:rPr>
        <w:t>z Českého jazyka a literatury</w:t>
      </w:r>
    </w:p>
    <w:p w:rsidR="00521EC0" w:rsidRPr="00521EC0" w:rsidRDefault="00521EC0" w:rsidP="00521EC0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ú</w:t>
      </w:r>
      <w:r w:rsidRPr="00521EC0">
        <w:rPr>
          <w:color w:val="0070C0"/>
          <w:sz w:val="48"/>
          <w:u w:val="single"/>
        </w:rPr>
        <w:t>stní zkouška</w:t>
      </w:r>
    </w:p>
    <w:p w:rsidR="00035EBE" w:rsidRDefault="00035EBE" w:rsidP="00035EBE">
      <w:pPr>
        <w:jc w:val="center"/>
        <w:rPr>
          <w:b/>
          <w:sz w:val="28"/>
        </w:rPr>
      </w:pPr>
      <w:r w:rsidRPr="00035EBE">
        <w:rPr>
          <w:b/>
          <w:sz w:val="28"/>
        </w:rPr>
        <w:t>školní rok 2023/24</w:t>
      </w:r>
    </w:p>
    <w:p w:rsidR="00521EC0" w:rsidRPr="00521EC0" w:rsidRDefault="00521EC0" w:rsidP="00035EBE">
      <w:pPr>
        <w:jc w:val="center"/>
        <w:rPr>
          <w:b/>
          <w:sz w:val="16"/>
        </w:rPr>
      </w:pPr>
    </w:p>
    <w:p w:rsidR="00521EC0" w:rsidRDefault="00521EC0" w:rsidP="00521EC0">
      <w:pPr>
        <w:shd w:val="clear" w:color="auto" w:fill="FAFAFA"/>
        <w:spacing w:after="3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Žák je hodnocen v 6 oblastech, nejvýše může získat 28 bodů za celou zkoušku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Čas, který je věnován jednotlivým částem ústní zkoušky, by měl odpovídat jejich podílu na bodovém hodnocení ústní zkoušky. Zkouška trvá 15 minut. Vzhledem k zadání zkoušky, kterým je literární dílo, by analýze uměleckého textu a charakteristice literárněhistorického kontextu měly být věnovány 2/3 celkové časové dotace (orientačně tedy 10 min) a analýze neuměleckého textu 1/3 celkové časové dotace (orientačně tedy 5 min). </w:t>
      </w:r>
    </w:p>
    <w:p w:rsidR="00521EC0" w:rsidRDefault="00521EC0" w:rsidP="00521EC0">
      <w:pPr>
        <w:shd w:val="clear" w:color="auto" w:fill="FAFAFA"/>
        <w:spacing w:after="315" w:line="249" w:lineRule="auto"/>
        <w:ind w:left="-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Poslední oblastí, v níž je žák hodnocen, je kritérium </w:t>
      </w:r>
      <w:r>
        <w:rPr>
          <w:rFonts w:ascii="Times New Roman" w:eastAsia="Times New Roman" w:hAnsi="Times New Roman" w:cs="Times New Roman"/>
          <w:b/>
          <w:sz w:val="24"/>
        </w:rPr>
        <w:t>výpověď v souladu s jazykovými normami a se zásadami jazykové kultury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Hodnocení žáka v tomto kritériu je založeno na jeho výkonu v průběhu celé zkoušky, žák může být hodnocen maximálně 4 body. Detaily procesu hodnocení jsou předmětem metodických materiálů. </w:t>
      </w:r>
    </w:p>
    <w:p w:rsidR="00521EC0" w:rsidRDefault="00521EC0" w:rsidP="00521EC0">
      <w:pPr>
        <w:shd w:val="clear" w:color="auto" w:fill="FAFAFA"/>
        <w:spacing w:after="315" w:line="249" w:lineRule="auto"/>
        <w:ind w:left="-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Aby žák splnil ÚSTNÍ ZKOUŠKU Z ČESKÉHO JAZYKA A LITERATURY, musí dosáhnout minimálně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13 bodů.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21EC0" w:rsidRDefault="00521EC0" w:rsidP="00521EC0">
      <w:pPr>
        <w:shd w:val="clear" w:color="auto" w:fill="FAFAFA"/>
        <w:spacing w:after="294"/>
        <w:ind w:left="-15"/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 w:color="111111"/>
        </w:rPr>
        <w:t>OSNOVA – ANALÝZA UT a NT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 </w:t>
      </w:r>
    </w:p>
    <w:p w:rsidR="00521EC0" w:rsidRDefault="00521EC0" w:rsidP="00521EC0">
      <w:pPr>
        <w:numPr>
          <w:ilvl w:val="0"/>
          <w:numId w:val="7"/>
        </w:numPr>
        <w:spacing w:after="36"/>
        <w:ind w:hanging="720"/>
      </w:pPr>
      <w:r>
        <w:rPr>
          <w:rFonts w:ascii="Times New Roman" w:eastAsia="Times New Roman" w:hAnsi="Times New Roman" w:cs="Times New Roman"/>
          <w:sz w:val="24"/>
        </w:rPr>
        <w:t>-     Kontext díla, určit</w:t>
      </w:r>
      <w:r>
        <w:rPr>
          <w:rFonts w:ascii="Times New Roman" w:eastAsia="Times New Roman" w:hAnsi="Times New Roman" w:cs="Times New Roman"/>
          <w:sz w:val="24"/>
        </w:rPr>
        <w:t xml:space="preserve"> časoprostor…………………………………………………2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1"/>
          <w:numId w:val="7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>Téma (myšlenka a motivy) díla/úryvku……………………………………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1"/>
          <w:numId w:val="7"/>
        </w:numPr>
        <w:spacing w:after="26"/>
        <w:ind w:hanging="360"/>
      </w:pPr>
      <w:r>
        <w:rPr>
          <w:rFonts w:ascii="Times New Roman" w:eastAsia="Times New Roman" w:hAnsi="Times New Roman" w:cs="Times New Roman"/>
          <w:sz w:val="24"/>
        </w:rPr>
        <w:t>Kompozice díla/úryvku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1"/>
          <w:numId w:val="7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Literární druh, literární žánr, </w:t>
      </w:r>
      <w:r>
        <w:rPr>
          <w:rFonts w:ascii="Times New Roman" w:eastAsia="Times New Roman" w:hAnsi="Times New Roman" w:cs="Times New Roman"/>
          <w:sz w:val="24"/>
        </w:rPr>
        <w:t>literární forma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0"/>
          <w:numId w:val="7"/>
        </w:numPr>
        <w:spacing w:after="36"/>
        <w:ind w:hanging="720"/>
      </w:pPr>
      <w:r>
        <w:rPr>
          <w:rFonts w:ascii="Times New Roman" w:eastAsia="Times New Roman" w:hAnsi="Times New Roman" w:cs="Times New Roman"/>
          <w:sz w:val="24"/>
        </w:rPr>
        <w:t>-     Vypravěč (lyrický subjekt), z</w:t>
      </w:r>
      <w:r>
        <w:rPr>
          <w:rFonts w:ascii="Times New Roman" w:eastAsia="Times New Roman" w:hAnsi="Times New Roman" w:cs="Times New Roman"/>
          <w:sz w:val="24"/>
        </w:rPr>
        <w:t>působ vypravování…………………………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…....2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1"/>
          <w:numId w:val="7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>Postavy díla/úryvku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0"/>
          <w:numId w:val="7"/>
        </w:numPr>
        <w:spacing w:after="25"/>
        <w:ind w:hanging="720"/>
      </w:pPr>
      <w:r>
        <w:rPr>
          <w:rFonts w:ascii="Times New Roman" w:eastAsia="Times New Roman" w:hAnsi="Times New Roman" w:cs="Times New Roman"/>
          <w:sz w:val="24"/>
        </w:rPr>
        <w:t>-     Jazykové prostředky – vrstvy jazyka, obrazná pojmenování, verše, typy            promluv…………………………………………………………………………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</w:t>
      </w:r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0"/>
          <w:numId w:val="7"/>
        </w:numPr>
        <w:spacing w:after="32"/>
        <w:ind w:hanging="720"/>
      </w:pPr>
      <w:r>
        <w:rPr>
          <w:rFonts w:ascii="Times New Roman" w:eastAsia="Times New Roman" w:hAnsi="Times New Roman" w:cs="Times New Roman"/>
          <w:sz w:val="24"/>
        </w:rPr>
        <w:t>-     Kontext autorovy tvorby……………………………………………………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…2 </w:t>
      </w:r>
    </w:p>
    <w:p w:rsidR="00521EC0" w:rsidRDefault="00521EC0" w:rsidP="00521EC0">
      <w:pPr>
        <w:numPr>
          <w:ilvl w:val="1"/>
          <w:numId w:val="7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>Autor v literárně kulturním kontextu………………………………………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2"/>
        <w:ind w:left="1051" w:right="-35"/>
      </w:pPr>
      <w:r>
        <w:rPr>
          <w:noProof/>
        </w:rPr>
        <mc:AlternateContent>
          <mc:Choice Requires="wpg">
            <w:drawing>
              <wp:inline distT="0" distB="0" distL="0" distR="0" wp14:anchorId="06108DEE" wp14:editId="4421A95E">
                <wp:extent cx="5112385" cy="18288"/>
                <wp:effectExtent l="0" t="0" r="0" b="0"/>
                <wp:docPr id="1659" name="Group 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385" cy="18288"/>
                          <a:chOff x="0" y="0"/>
                          <a:chExt cx="5112385" cy="18288"/>
                        </a:xfrm>
                      </wpg:grpSpPr>
                      <wps:wsp>
                        <wps:cNvPr id="2062" name="Shape 2062"/>
                        <wps:cNvSpPr/>
                        <wps:spPr>
                          <a:xfrm>
                            <a:off x="0" y="0"/>
                            <a:ext cx="51123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85" h="18288">
                                <a:moveTo>
                                  <a:pt x="0" y="0"/>
                                </a:moveTo>
                                <a:lnTo>
                                  <a:pt x="5112385" y="0"/>
                                </a:lnTo>
                                <a:lnTo>
                                  <a:pt x="51123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61482" id="Group 1659" o:spid="_x0000_s1026" style="width:402.55pt;height:1.45pt;mso-position-horizontal-relative:char;mso-position-vertical-relative:line" coordsize="5112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">
                <v:shape id="Shape 2062" o:spid="_x0000_s1027" style="position:absolute;width:51123;height:182;visibility:visible;mso-wrap-style:square;v-text-anchor:top" coordsize="51123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" path="m,l5112385,r,18288l,18288,,e" fillcolor="black" stroked="f" strokeweight="0">
                  <v:stroke miterlimit="83231f" joinstyle="miter"/>
                  <v:path arrowok="t" textboxrect="0,0,5112385,18288"/>
                </v:shape>
                <w10:anchorlock/>
              </v:group>
            </w:pict>
          </mc:Fallback>
        </mc:AlternateContent>
      </w:r>
    </w:p>
    <w:p w:rsidR="00521EC0" w:rsidRDefault="00521EC0" w:rsidP="00521EC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0"/>
          <w:numId w:val="7"/>
        </w:numPr>
        <w:spacing w:after="37"/>
        <w:ind w:hanging="720"/>
      </w:pPr>
      <w:r>
        <w:rPr>
          <w:rFonts w:ascii="Times New Roman" w:eastAsia="Times New Roman" w:hAnsi="Times New Roman" w:cs="Times New Roman"/>
          <w:sz w:val="24"/>
        </w:rPr>
        <w:t>-     Posoudit souvislost mezi úryvky, hlavní myšlenka textu…………………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1"/>
          <w:numId w:val="7"/>
        </w:numPr>
        <w:spacing w:after="27"/>
        <w:ind w:hanging="360"/>
      </w:pPr>
      <w:r>
        <w:rPr>
          <w:rFonts w:ascii="Times New Roman" w:eastAsia="Times New Roman" w:hAnsi="Times New Roman" w:cs="Times New Roman"/>
          <w:sz w:val="24"/>
        </w:rPr>
        <w:t>Komunikační situace: autor, adresát textu, účel vzniku textu……………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…....2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1"/>
          <w:numId w:val="7"/>
        </w:numPr>
        <w:spacing w:after="26"/>
        <w:ind w:hanging="360"/>
      </w:pPr>
      <w:r>
        <w:rPr>
          <w:rFonts w:ascii="Times New Roman" w:eastAsia="Times New Roman" w:hAnsi="Times New Roman" w:cs="Times New Roman"/>
          <w:sz w:val="24"/>
        </w:rPr>
        <w:t>Určit funkční styl, slohové postupy, slohový útvar; odůvodnit……………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1"/>
          <w:numId w:val="7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Jazykové prostředky ...…………………………………………………………2 </w:t>
      </w:r>
    </w:p>
    <w:p w:rsidR="00521EC0" w:rsidRDefault="00521EC0" w:rsidP="00521EC0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2"/>
        <w:ind w:left="1051" w:right="-35"/>
      </w:pPr>
      <w:r>
        <w:rPr>
          <w:noProof/>
        </w:rPr>
        <mc:AlternateContent>
          <mc:Choice Requires="wpg">
            <w:drawing>
              <wp:inline distT="0" distB="0" distL="0" distR="0" wp14:anchorId="5A6B670B" wp14:editId="655D006A">
                <wp:extent cx="5112385" cy="18288"/>
                <wp:effectExtent l="0" t="0" r="0" b="0"/>
                <wp:docPr id="1660" name="Group 1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385" cy="18288"/>
                          <a:chOff x="0" y="0"/>
                          <a:chExt cx="5112385" cy="18288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51123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85" h="18288">
                                <a:moveTo>
                                  <a:pt x="0" y="0"/>
                                </a:moveTo>
                                <a:lnTo>
                                  <a:pt x="5112385" y="0"/>
                                </a:lnTo>
                                <a:lnTo>
                                  <a:pt x="51123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00680" id="Group 1660" o:spid="_x0000_s1026" style="width:402.55pt;height:1.45pt;mso-position-horizontal-relative:char;mso-position-vertical-relative:line" coordsize="5112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">
                <v:shape id="Shape 2064" o:spid="_x0000_s1027" style="position:absolute;width:51123;height:182;visibility:visible;mso-wrap-style:square;v-text-anchor:top" coordsize="51123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" path="m,l5112385,r,18288l,18288,,e" fillcolor="black" stroked="f" strokeweight="0">
                  <v:stroke miterlimit="83231f" joinstyle="miter"/>
                  <v:path arrowok="t" textboxrect="0,0,5112385,18288"/>
                </v:shape>
                <w10:anchorlock/>
              </v:group>
            </w:pict>
          </mc:Fallback>
        </mc:AlternateContent>
      </w:r>
    </w:p>
    <w:p w:rsidR="00521EC0" w:rsidRDefault="00521EC0" w:rsidP="00521EC0">
      <w:pPr>
        <w:spacing w:after="21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numPr>
          <w:ilvl w:val="0"/>
          <w:numId w:val="7"/>
        </w:numPr>
        <w:spacing w:after="3"/>
        <w:ind w:hanging="720"/>
      </w:pPr>
      <w:r>
        <w:rPr>
          <w:rFonts w:ascii="Times New Roman" w:eastAsia="Times New Roman" w:hAnsi="Times New Roman" w:cs="Times New Roman"/>
          <w:sz w:val="24"/>
        </w:rPr>
        <w:t>-    Výpověď v souladu s jazykovými normami a se zásadami jazykové kultury</w:t>
      </w:r>
      <w:proofErr w:type="gramStart"/>
      <w:r>
        <w:rPr>
          <w:rFonts w:ascii="Times New Roman" w:eastAsia="Times New Roman" w:hAnsi="Times New Roman" w:cs="Times New Roman"/>
          <w:sz w:val="24"/>
        </w:rPr>
        <w:t>….4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EC0" w:rsidRDefault="00521EC0" w:rsidP="00521EC0">
      <w:pPr>
        <w:spacing w:after="7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 wp14:anchorId="3BE5C02B" wp14:editId="780A0D68">
                <wp:extent cx="5798185" cy="18288"/>
                <wp:effectExtent l="0" t="0" r="0" b="0"/>
                <wp:docPr id="1661" name="Group 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066" name="Shape 2066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60B58" id="Group 1661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">
                <v:shape id="Shape 2066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521EC0" w:rsidRDefault="00521EC0" w:rsidP="00521EC0">
      <w:pPr>
        <w:spacing w:after="0"/>
        <w:ind w:left="6372" w:right="30" w:firstLine="7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28 </w:t>
      </w:r>
    </w:p>
    <w:p w:rsidR="00BE27C5" w:rsidRPr="00035EBE" w:rsidRDefault="00BE27C5" w:rsidP="00035EBE">
      <w:pPr>
        <w:jc w:val="center"/>
        <w:rPr>
          <w:b/>
          <w:sz w:val="28"/>
        </w:rPr>
      </w:pPr>
    </w:p>
    <w:p w:rsidR="009C292F" w:rsidRPr="00C73512" w:rsidRDefault="009C292F" w:rsidP="009C292F">
      <w:pPr>
        <w:rPr>
          <w:rFonts w:ascii="Times New Roman" w:hAnsi="Times New Roman" w:cs="Times New Roman"/>
        </w:rPr>
      </w:pPr>
    </w:p>
    <w:p w:rsidR="00B7659B" w:rsidRDefault="009C292F" w:rsidP="00312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</w:t>
      </w:r>
      <w:r w:rsidR="00035EBE">
        <w:rPr>
          <w:rFonts w:ascii="Times New Roman" w:hAnsi="Times New Roman" w:cs="Times New Roman"/>
        </w:rPr>
        <w:t xml:space="preserve"> k </w:t>
      </w:r>
      <w:proofErr w:type="gramStart"/>
      <w:r w:rsidR="00035EBE">
        <w:rPr>
          <w:rFonts w:ascii="Times New Roman" w:hAnsi="Times New Roman" w:cs="Times New Roman"/>
        </w:rPr>
        <w:t>27</w:t>
      </w:r>
      <w:r w:rsidR="004474C1">
        <w:rPr>
          <w:rFonts w:ascii="Times New Roman" w:hAnsi="Times New Roman" w:cs="Times New Roman"/>
        </w:rPr>
        <w:t>.</w:t>
      </w:r>
      <w:r w:rsidR="00035EBE">
        <w:rPr>
          <w:rFonts w:ascii="Times New Roman" w:hAnsi="Times New Roman" w:cs="Times New Roman"/>
        </w:rPr>
        <w:t>9</w:t>
      </w:r>
      <w:r w:rsidR="004474C1">
        <w:rPr>
          <w:rFonts w:ascii="Times New Roman" w:hAnsi="Times New Roman" w:cs="Times New Roman"/>
        </w:rPr>
        <w:t>.2023</w:t>
      </w:r>
      <w:proofErr w:type="gramEnd"/>
      <w:r>
        <w:rPr>
          <w:rFonts w:ascii="Times New Roman" w:hAnsi="Times New Roman" w:cs="Times New Roman"/>
        </w:rPr>
        <w:t xml:space="preserve">:  </w:t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B7659B">
        <w:rPr>
          <w:rFonts w:ascii="Times New Roman" w:hAnsi="Times New Roman" w:cs="Times New Roman"/>
        </w:rPr>
        <w:t>Trivis</w:t>
      </w:r>
      <w:proofErr w:type="spellEnd"/>
      <w:r w:rsidR="00B7659B">
        <w:rPr>
          <w:rFonts w:ascii="Times New Roman" w:hAnsi="Times New Roman" w:cs="Times New Roman"/>
        </w:rPr>
        <w:t xml:space="preserve"> Praha</w:t>
      </w:r>
    </w:p>
    <w:p w:rsidR="009C292F" w:rsidRPr="00711679" w:rsidRDefault="00B7659B" w:rsidP="00312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Mgr. Ludmila Benešová</w:t>
      </w:r>
      <w:r w:rsidR="009C29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r w:rsidR="004474C1">
        <w:rPr>
          <w:rFonts w:ascii="Times New Roman" w:hAnsi="Times New Roman" w:cs="Times New Roman"/>
        </w:rPr>
        <w:tab/>
      </w:r>
    </w:p>
    <w:sectPr w:rsidR="009C292F" w:rsidRPr="00711679" w:rsidSect="004474C1">
      <w:pgSz w:w="11906" w:h="16838"/>
      <w:pgMar w:top="680" w:right="72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0C"/>
    <w:multiLevelType w:val="hybridMultilevel"/>
    <w:tmpl w:val="2FB4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761"/>
    <w:multiLevelType w:val="hybridMultilevel"/>
    <w:tmpl w:val="F9386358"/>
    <w:lvl w:ilvl="0" w:tplc="4308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5FE5"/>
    <w:multiLevelType w:val="hybridMultilevel"/>
    <w:tmpl w:val="2D5EBA64"/>
    <w:lvl w:ilvl="0" w:tplc="420C5BD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650E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08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F64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54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67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AD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CF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C906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B0B18"/>
    <w:multiLevelType w:val="hybridMultilevel"/>
    <w:tmpl w:val="44A03D9C"/>
    <w:lvl w:ilvl="0" w:tplc="F53A3A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81093"/>
    <w:multiLevelType w:val="hybridMultilevel"/>
    <w:tmpl w:val="EE9A4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4458A"/>
    <w:multiLevelType w:val="hybridMultilevel"/>
    <w:tmpl w:val="1B8EA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2956"/>
    <w:multiLevelType w:val="hybridMultilevel"/>
    <w:tmpl w:val="C6E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B"/>
    <w:rsid w:val="00035EBE"/>
    <w:rsid w:val="000C477B"/>
    <w:rsid w:val="00312A2D"/>
    <w:rsid w:val="004474C1"/>
    <w:rsid w:val="00521EC0"/>
    <w:rsid w:val="00711679"/>
    <w:rsid w:val="00916E05"/>
    <w:rsid w:val="009C292F"/>
    <w:rsid w:val="009D0C15"/>
    <w:rsid w:val="00A05A61"/>
    <w:rsid w:val="00B375F0"/>
    <w:rsid w:val="00B7659B"/>
    <w:rsid w:val="00BE27C5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7AE4"/>
  <w15:chartTrackingRefBased/>
  <w15:docId w15:val="{5C1E657F-A799-4B52-8BC7-D97F5EF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6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4474C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47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Benesova, Ludmila</dc:creator>
  <cp:keywords/>
  <dc:description/>
  <cp:lastModifiedBy>Zwanzgerova, Pavla</cp:lastModifiedBy>
  <cp:revision>2</cp:revision>
  <dcterms:created xsi:type="dcterms:W3CDTF">2023-10-02T10:20:00Z</dcterms:created>
  <dcterms:modified xsi:type="dcterms:W3CDTF">2023-10-02T10:20:00Z</dcterms:modified>
</cp:coreProperties>
</file>